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80" w:rsidRDefault="00692A80"/>
    <w:p w:rsidR="00AC64D4" w:rsidRDefault="00AC64D4"/>
    <w:p w:rsidR="00AC64D4" w:rsidRPr="00AC64D4" w:rsidRDefault="00AC64D4" w:rsidP="00AC64D4">
      <w:pPr>
        <w:shd w:val="clear" w:color="auto" w:fill="FFFFFF"/>
        <w:spacing w:before="100" w:beforeAutospacing="1" w:after="100" w:afterAutospacing="1"/>
        <w:jc w:val="center"/>
        <w:rPr>
          <w:rFonts w:ascii="Arial" w:eastAsia="Times New Roman" w:hAnsi="Arial" w:cs="Arial"/>
          <w:color w:val="222222"/>
          <w:lang w:eastAsia="fr-FR"/>
        </w:rPr>
      </w:pPr>
      <w:bookmarkStart w:id="0" w:name="_GoBack"/>
      <w:bookmarkEnd w:id="0"/>
    </w:p>
    <w:p w:rsidR="00AC64D4" w:rsidRPr="00AC64D4" w:rsidRDefault="00AC64D4" w:rsidP="00AC64D4">
      <w:pPr>
        <w:shd w:val="clear" w:color="auto" w:fill="FFFFFF"/>
        <w:spacing w:before="100" w:beforeAutospacing="1" w:after="100" w:afterAutospacing="1"/>
        <w:jc w:val="center"/>
        <w:rPr>
          <w:rFonts w:ascii="Arial" w:eastAsia="Times New Roman" w:hAnsi="Arial" w:cs="Arial"/>
          <w:color w:val="222222"/>
          <w:lang w:eastAsia="fr-FR"/>
        </w:rPr>
      </w:pPr>
      <w:r w:rsidRPr="00AC64D4">
        <w:rPr>
          <w:rFonts w:ascii="Arial" w:eastAsia="Times New Roman" w:hAnsi="Arial" w:cs="Arial"/>
          <w:color w:val="222222"/>
          <w:lang w:eastAsia="fr-FR"/>
        </w:rPr>
        <w:t> </w:t>
      </w:r>
    </w:p>
    <w:p w:rsidR="00AC64D4" w:rsidRPr="00AC64D4" w:rsidRDefault="00AC64D4" w:rsidP="00AC64D4">
      <w:pPr>
        <w:shd w:val="clear" w:color="auto" w:fill="FFFFFF"/>
        <w:spacing w:after="160"/>
        <w:jc w:val="center"/>
        <w:rPr>
          <w:rFonts w:ascii="Arial" w:eastAsia="Times New Roman" w:hAnsi="Arial" w:cs="Arial"/>
          <w:color w:val="222222"/>
          <w:lang w:eastAsia="fr-FR"/>
        </w:rPr>
      </w:pPr>
      <w:r w:rsidRPr="00AC64D4">
        <w:rPr>
          <w:rFonts w:ascii="Calibri" w:eastAsia="Times New Roman" w:hAnsi="Calibri" w:cs="Calibri"/>
          <w:b/>
          <w:bCs/>
          <w:color w:val="222222"/>
          <w:sz w:val="22"/>
          <w:szCs w:val="22"/>
          <w:u w:val="single"/>
          <w:lang w:eastAsia="fr-FR"/>
        </w:rPr>
        <w:t>Communiqué de presse</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Arial" w:eastAsia="Times New Roman" w:hAnsi="Arial" w:cs="Arial"/>
          <w:color w:val="222222"/>
          <w:lang w:eastAsia="fr-FR"/>
        </w:rPr>
        <w:t> </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Calibri" w:eastAsia="Times New Roman" w:hAnsi="Calibri" w:cs="Calibri"/>
          <w:i/>
          <w:iCs/>
          <w:color w:val="222222"/>
          <w:sz w:val="22"/>
          <w:szCs w:val="22"/>
          <w:lang w:eastAsia="fr-FR"/>
        </w:rPr>
        <w:t>Paris, le 12 octobre 2020</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Arial" w:eastAsia="Times New Roman" w:hAnsi="Arial" w:cs="Arial"/>
          <w:color w:val="222222"/>
          <w:lang w:eastAsia="fr-FR"/>
        </w:rPr>
        <w:t> </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Calibri" w:eastAsia="Times New Roman" w:hAnsi="Calibri" w:cs="Calibri"/>
          <w:color w:val="222222"/>
          <w:sz w:val="22"/>
          <w:szCs w:val="22"/>
          <w:lang w:eastAsia="fr-FR"/>
        </w:rPr>
        <w:t>Philip Morris France SAS augmente le prix de ses références de cigarettes, de tabac à rouler et à tuber et de sa marque de cigarillos dans la liste de prix publiée au Journal Officiel ce jour et qui entrera en vigueur au 1</w:t>
      </w:r>
      <w:r w:rsidRPr="00AC64D4">
        <w:rPr>
          <w:rFonts w:ascii="Calibri" w:eastAsia="Times New Roman" w:hAnsi="Calibri" w:cs="Calibri"/>
          <w:color w:val="222222"/>
          <w:sz w:val="22"/>
          <w:szCs w:val="22"/>
          <w:vertAlign w:val="superscript"/>
          <w:lang w:eastAsia="fr-FR"/>
        </w:rPr>
        <w:t>er</w:t>
      </w:r>
      <w:r w:rsidRPr="00AC64D4">
        <w:rPr>
          <w:rFonts w:ascii="Calibri" w:eastAsia="Times New Roman" w:hAnsi="Calibri" w:cs="Calibri"/>
          <w:color w:val="222222"/>
          <w:sz w:val="22"/>
          <w:szCs w:val="22"/>
          <w:lang w:eastAsia="fr-FR"/>
        </w:rPr>
        <w:t> novembre 2020 :</w:t>
      </w:r>
    </w:p>
    <w:p w:rsidR="00AC64D4" w:rsidRPr="00AC64D4" w:rsidRDefault="00AC64D4" w:rsidP="00AC64D4">
      <w:pPr>
        <w:numPr>
          <w:ilvl w:val="0"/>
          <w:numId w:val="1"/>
        </w:numPr>
        <w:shd w:val="clear" w:color="auto" w:fill="FFFFFF"/>
        <w:ind w:left="1440"/>
        <w:rPr>
          <w:rFonts w:ascii="Arial" w:eastAsia="Times New Roman" w:hAnsi="Arial" w:cs="Arial"/>
          <w:color w:val="222222"/>
          <w:lang w:eastAsia="fr-FR"/>
        </w:rPr>
      </w:pPr>
      <w:r w:rsidRPr="00AC64D4">
        <w:rPr>
          <w:rFonts w:ascii="Calibri" w:eastAsia="Times New Roman" w:hAnsi="Calibri" w:cs="Calibri"/>
          <w:color w:val="222222"/>
          <w:sz w:val="22"/>
          <w:szCs w:val="22"/>
          <w:lang w:eastAsia="fr-FR"/>
        </w:rPr>
        <w:t>Les paquets de 20 cigarettes augmentent de 40 à 50 centimes suivant les différentes marques du groupe. </w:t>
      </w:r>
      <w:r w:rsidRPr="00AC64D4">
        <w:rPr>
          <w:rFonts w:ascii="Calibri" w:eastAsia="Times New Roman" w:hAnsi="Calibri" w:cs="Calibri"/>
          <w:color w:val="222222"/>
          <w:sz w:val="22"/>
          <w:szCs w:val="22"/>
          <w:lang w:eastAsia="fr-FR"/>
        </w:rPr>
        <w:br/>
        <w:t>Le prix d’un paquet de la marque la plus vendue passe ainsi à 10.40 €.</w:t>
      </w:r>
    </w:p>
    <w:p w:rsidR="00AC64D4" w:rsidRPr="00AC64D4" w:rsidRDefault="00AC64D4" w:rsidP="00AC64D4">
      <w:pPr>
        <w:numPr>
          <w:ilvl w:val="0"/>
          <w:numId w:val="1"/>
        </w:numPr>
        <w:shd w:val="clear" w:color="auto" w:fill="FFFFFF"/>
        <w:ind w:left="1440"/>
        <w:rPr>
          <w:rFonts w:ascii="Arial" w:eastAsia="Times New Roman" w:hAnsi="Arial" w:cs="Arial"/>
          <w:color w:val="222222"/>
          <w:lang w:eastAsia="fr-FR"/>
        </w:rPr>
      </w:pPr>
      <w:r w:rsidRPr="00AC64D4">
        <w:rPr>
          <w:rFonts w:ascii="Calibri" w:eastAsia="Times New Roman" w:hAnsi="Calibri" w:cs="Calibri"/>
          <w:color w:val="222222"/>
          <w:sz w:val="22"/>
          <w:szCs w:val="22"/>
          <w:lang w:eastAsia="fr-FR"/>
        </w:rPr>
        <w:t>Les références de tabac à rouler et à tuber augmentent de 40 à 80 centimes aux 30 grammes selon les références</w:t>
      </w:r>
    </w:p>
    <w:p w:rsidR="00AC64D4" w:rsidRPr="00AC64D4" w:rsidRDefault="00AC64D4" w:rsidP="00AC64D4">
      <w:pPr>
        <w:numPr>
          <w:ilvl w:val="0"/>
          <w:numId w:val="1"/>
        </w:numPr>
        <w:shd w:val="clear" w:color="auto" w:fill="FFFFFF"/>
        <w:spacing w:after="160"/>
        <w:ind w:left="1440"/>
        <w:rPr>
          <w:rFonts w:ascii="Arial" w:eastAsia="Times New Roman" w:hAnsi="Arial" w:cs="Arial"/>
          <w:color w:val="222222"/>
          <w:lang w:eastAsia="fr-FR"/>
        </w:rPr>
      </w:pPr>
      <w:r w:rsidRPr="00AC64D4">
        <w:rPr>
          <w:rFonts w:ascii="Calibri" w:eastAsia="Times New Roman" w:hAnsi="Calibri" w:cs="Calibri"/>
          <w:color w:val="222222"/>
          <w:sz w:val="22"/>
          <w:szCs w:val="22"/>
          <w:lang w:eastAsia="fr-FR"/>
        </w:rPr>
        <w:t>Les cigarillos augmentent de 20 centimes par paquet de 10.</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Calibri" w:eastAsia="Times New Roman" w:hAnsi="Calibri" w:cs="Calibri"/>
          <w:i/>
          <w:iCs/>
          <w:color w:val="222222"/>
          <w:sz w:val="22"/>
          <w:szCs w:val="22"/>
          <w:lang w:eastAsia="fr-FR"/>
        </w:rPr>
        <w:t>« Au mois de mars dernier, le paquet de la marque la plus vendue était passé à 10</w:t>
      </w:r>
      <w:r w:rsidRPr="00AC64D4">
        <w:rPr>
          <w:rFonts w:ascii="Calibri" w:eastAsia="Times New Roman" w:hAnsi="Calibri" w:cs="Calibri"/>
          <w:i/>
          <w:iCs/>
          <w:color w:val="222222"/>
          <w:sz w:val="22"/>
          <w:szCs w:val="22"/>
          <w:vertAlign w:val="superscript"/>
          <w:lang w:eastAsia="fr-FR"/>
        </w:rPr>
        <w:t>€</w:t>
      </w:r>
      <w:r w:rsidRPr="00AC64D4">
        <w:rPr>
          <w:rFonts w:ascii="Calibri" w:eastAsia="Times New Roman" w:hAnsi="Calibri" w:cs="Calibri"/>
          <w:i/>
          <w:iCs/>
          <w:color w:val="222222"/>
          <w:sz w:val="22"/>
          <w:szCs w:val="22"/>
          <w:lang w:eastAsia="fr-FR"/>
        </w:rPr>
        <w:t>00, devançant la volonté affichée du gouvernement de voir le prix des cigarettes atteindre cette barre avant la fin de l’année. Au mois de novembre l’ensemble des marques du groupe se vendra à 10€00 et plus, ce qui répond aux attentes du gouvernement. Cependant je souhaite rappeler ici que la hausse des taxes ne peut être le seul vecteur de lutte contre le tabagisme. Aujourd’hui il existe des alternatives que ce soit des cigarettes électroniques ou du tabac à chauffer qui représentent un bien meilleur choix pour les fumeurs qui continuent et continueront de fumer. Voilà pourquoi ces alternatives à la cigarette doivent s’inscrire pleinement dans les stratégies de lutte contre la cigarette. » </w:t>
      </w:r>
      <w:proofErr w:type="gramStart"/>
      <w:r w:rsidRPr="00AC64D4">
        <w:rPr>
          <w:rFonts w:ascii="Calibri" w:eastAsia="Times New Roman" w:hAnsi="Calibri" w:cs="Calibri"/>
          <w:color w:val="222222"/>
          <w:sz w:val="22"/>
          <w:szCs w:val="22"/>
          <w:lang w:eastAsia="fr-FR"/>
        </w:rPr>
        <w:t>a</w:t>
      </w:r>
      <w:proofErr w:type="gramEnd"/>
      <w:r w:rsidRPr="00AC64D4">
        <w:rPr>
          <w:rFonts w:ascii="Calibri" w:eastAsia="Times New Roman" w:hAnsi="Calibri" w:cs="Calibri"/>
          <w:color w:val="222222"/>
          <w:sz w:val="22"/>
          <w:szCs w:val="22"/>
          <w:lang w:eastAsia="fr-FR"/>
        </w:rPr>
        <w:t xml:space="preserve"> déclaré Jeanne </w:t>
      </w:r>
      <w:proofErr w:type="spellStart"/>
      <w:r w:rsidRPr="00AC64D4">
        <w:rPr>
          <w:rFonts w:ascii="Calibri" w:eastAsia="Times New Roman" w:hAnsi="Calibri" w:cs="Calibri"/>
          <w:color w:val="222222"/>
          <w:sz w:val="22"/>
          <w:szCs w:val="22"/>
          <w:lang w:eastAsia="fr-FR"/>
        </w:rPr>
        <w:t>Pollès</w:t>
      </w:r>
      <w:proofErr w:type="spellEnd"/>
      <w:r w:rsidRPr="00AC64D4">
        <w:rPr>
          <w:rFonts w:ascii="Calibri" w:eastAsia="Times New Roman" w:hAnsi="Calibri" w:cs="Calibri"/>
          <w:color w:val="222222"/>
          <w:sz w:val="22"/>
          <w:szCs w:val="22"/>
          <w:lang w:eastAsia="fr-FR"/>
        </w:rPr>
        <w:t>, présidente de Philip Morris France SAS.</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Arial" w:eastAsia="Times New Roman" w:hAnsi="Arial" w:cs="Arial"/>
          <w:color w:val="222222"/>
          <w:lang w:eastAsia="fr-FR"/>
        </w:rPr>
        <w:t> </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Calibri" w:eastAsia="Times New Roman" w:hAnsi="Calibri" w:cs="Calibri"/>
          <w:color w:val="222222"/>
          <w:sz w:val="22"/>
          <w:szCs w:val="22"/>
          <w:lang w:eastAsia="fr-FR"/>
        </w:rPr>
        <w:t>Retrouvez l’arrêté publié </w:t>
      </w:r>
      <w:hyperlink r:id="rId6" w:tgtFrame="_blank" w:history="1">
        <w:r w:rsidRPr="00AC64D4">
          <w:rPr>
            <w:rFonts w:ascii="Calibri" w:eastAsia="Times New Roman" w:hAnsi="Calibri" w:cs="Calibri"/>
            <w:color w:val="0563C1"/>
            <w:sz w:val="22"/>
            <w:szCs w:val="22"/>
            <w:u w:val="single"/>
            <w:lang w:eastAsia="fr-FR"/>
          </w:rPr>
          <w:t>au Journal Officiel ici</w:t>
        </w:r>
      </w:hyperlink>
      <w:r w:rsidRPr="00AC64D4">
        <w:rPr>
          <w:rFonts w:ascii="Calibri" w:eastAsia="Times New Roman" w:hAnsi="Calibri" w:cs="Calibri"/>
          <w:color w:val="222222"/>
          <w:sz w:val="22"/>
          <w:szCs w:val="22"/>
          <w:lang w:eastAsia="fr-FR"/>
        </w:rPr>
        <w:t>.</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Calibri" w:eastAsia="Times New Roman" w:hAnsi="Calibri" w:cs="Calibri"/>
          <w:color w:val="222222"/>
          <w:sz w:val="22"/>
          <w:szCs w:val="22"/>
          <w:lang w:eastAsia="fr-FR"/>
        </w:rPr>
        <w:t>Et </w:t>
      </w:r>
      <w:hyperlink r:id="rId7" w:tgtFrame="_blank" w:history="1">
        <w:r w:rsidRPr="00AC64D4">
          <w:rPr>
            <w:rFonts w:ascii="Calibri" w:eastAsia="Times New Roman" w:hAnsi="Calibri" w:cs="Calibri"/>
            <w:color w:val="0563C1"/>
            <w:sz w:val="22"/>
            <w:szCs w:val="22"/>
            <w:u w:val="single"/>
            <w:lang w:eastAsia="fr-FR"/>
          </w:rPr>
          <w:t>ici le lien</w:t>
        </w:r>
      </w:hyperlink>
      <w:r w:rsidRPr="00AC64D4">
        <w:rPr>
          <w:rFonts w:ascii="Calibri" w:eastAsia="Times New Roman" w:hAnsi="Calibri" w:cs="Calibri"/>
          <w:color w:val="222222"/>
          <w:sz w:val="22"/>
          <w:szCs w:val="22"/>
          <w:lang w:eastAsia="fr-FR"/>
        </w:rPr>
        <w:t> vers la liste prix publiée sur le site des Douanes</w:t>
      </w:r>
    </w:p>
    <w:p w:rsidR="00AC64D4" w:rsidRPr="00AC64D4" w:rsidRDefault="00AC64D4" w:rsidP="00AC64D4">
      <w:pPr>
        <w:shd w:val="clear" w:color="auto" w:fill="FFFFFF"/>
        <w:spacing w:after="160"/>
        <w:rPr>
          <w:rFonts w:ascii="Arial" w:eastAsia="Times New Roman" w:hAnsi="Arial" w:cs="Arial"/>
          <w:color w:val="222222"/>
          <w:lang w:eastAsia="fr-FR"/>
        </w:rPr>
      </w:pPr>
      <w:r w:rsidRPr="00AC64D4">
        <w:rPr>
          <w:rFonts w:ascii="Arial" w:eastAsia="Times New Roman" w:hAnsi="Arial" w:cs="Arial"/>
          <w:color w:val="222222"/>
          <w:lang w:eastAsia="fr-FR"/>
        </w:rPr>
        <w:t> </w:t>
      </w:r>
    </w:p>
    <w:p w:rsidR="00AC64D4" w:rsidRPr="00AC64D4" w:rsidRDefault="00AC64D4" w:rsidP="00AC64D4">
      <w:pPr>
        <w:shd w:val="clear" w:color="auto" w:fill="FFFFFF"/>
        <w:spacing w:after="160"/>
        <w:jc w:val="both"/>
        <w:rPr>
          <w:rFonts w:ascii="Arial" w:eastAsia="Times New Roman" w:hAnsi="Arial" w:cs="Arial"/>
          <w:color w:val="222222"/>
          <w:lang w:eastAsia="fr-FR"/>
        </w:rPr>
      </w:pPr>
      <w:r w:rsidRPr="00AC64D4">
        <w:rPr>
          <w:rFonts w:ascii="Calibri" w:eastAsia="Times New Roman" w:hAnsi="Calibri" w:cs="Calibri"/>
          <w:b/>
          <w:bCs/>
          <w:color w:val="222222"/>
          <w:sz w:val="22"/>
          <w:szCs w:val="22"/>
          <w:lang w:eastAsia="fr-FR"/>
        </w:rPr>
        <w:t>A propos de Philip Morris International</w:t>
      </w:r>
    </w:p>
    <w:p w:rsidR="00AC64D4" w:rsidRPr="00AC64D4" w:rsidRDefault="00AC64D4" w:rsidP="00AC64D4">
      <w:pPr>
        <w:shd w:val="clear" w:color="auto" w:fill="FFFFFF"/>
        <w:spacing w:after="160"/>
        <w:jc w:val="both"/>
        <w:rPr>
          <w:rFonts w:ascii="Arial" w:eastAsia="Times New Roman" w:hAnsi="Arial" w:cs="Arial"/>
          <w:color w:val="222222"/>
          <w:lang w:eastAsia="fr-FR"/>
        </w:rPr>
      </w:pPr>
      <w:r w:rsidRPr="00AC64D4">
        <w:rPr>
          <w:rFonts w:ascii="Calibri" w:eastAsia="Times New Roman" w:hAnsi="Calibri" w:cs="Calibri"/>
          <w:color w:val="000000"/>
          <w:sz w:val="22"/>
          <w:szCs w:val="22"/>
          <w:lang w:eastAsia="fr-FR"/>
        </w:rPr>
        <w:t>Philip Morris International (PMI) se transforme pour créer un avenir sans fumée et remplacer les cigarettes par des produits « sans fumée » au profit des adultes qui continuent ou continueront de fumer.</w:t>
      </w:r>
      <w:r w:rsidRPr="00AC64D4">
        <w:rPr>
          <w:rFonts w:ascii="Calibri" w:eastAsia="Times New Roman" w:hAnsi="Calibri" w:cs="Calibri"/>
          <w:color w:val="222222"/>
          <w:sz w:val="22"/>
          <w:szCs w:val="22"/>
          <w:lang w:eastAsia="fr-FR"/>
        </w:rPr>
        <w:t> </w:t>
      </w:r>
      <w:r w:rsidRPr="00AC64D4">
        <w:rPr>
          <w:rFonts w:ascii="Calibri" w:eastAsia="Times New Roman" w:hAnsi="Calibri" w:cs="Calibri"/>
          <w:color w:val="000000"/>
          <w:sz w:val="22"/>
          <w:szCs w:val="22"/>
          <w:lang w:eastAsia="fr-FR"/>
        </w:rPr>
        <w:t>PMI est une entreprise internationale leader spécialisée dans les produits du tabac. Elle se structure autour de la fabrication et de la vente de cigarettes, de produits sans fumée et d’appareils électroniques et accessoires connexes, ainsi que d’autres produits contenant de la nicotine, et opère dans le monde hors États-Unis.</w:t>
      </w:r>
      <w:r w:rsidRPr="00AC64D4">
        <w:rPr>
          <w:rFonts w:ascii="Calibri" w:eastAsia="Times New Roman" w:hAnsi="Calibri" w:cs="Calibri"/>
          <w:color w:val="222222"/>
          <w:sz w:val="22"/>
          <w:szCs w:val="22"/>
          <w:lang w:eastAsia="fr-FR"/>
        </w:rPr>
        <w:t xml:space="preserve"> En outre, PMI expédie une version de son dispositif IQOS Platform 1 et ses consommables autorisés par la Food and Drug Administration américaine à </w:t>
      </w:r>
      <w:proofErr w:type="spellStart"/>
      <w:r w:rsidRPr="00AC64D4">
        <w:rPr>
          <w:rFonts w:ascii="Calibri" w:eastAsia="Times New Roman" w:hAnsi="Calibri" w:cs="Calibri"/>
          <w:color w:val="222222"/>
          <w:sz w:val="22"/>
          <w:szCs w:val="22"/>
          <w:lang w:eastAsia="fr-FR"/>
        </w:rPr>
        <w:t>Altria</w:t>
      </w:r>
      <w:proofErr w:type="spellEnd"/>
      <w:r w:rsidRPr="00AC64D4">
        <w:rPr>
          <w:rFonts w:ascii="Calibri" w:eastAsia="Times New Roman" w:hAnsi="Calibri" w:cs="Calibri"/>
          <w:color w:val="222222"/>
          <w:sz w:val="22"/>
          <w:szCs w:val="22"/>
          <w:lang w:eastAsia="fr-FR"/>
        </w:rPr>
        <w:t xml:space="preserve"> Group, Inc. pour la vente aux États-Unis sous licence.</w:t>
      </w:r>
    </w:p>
    <w:p w:rsidR="00AC64D4" w:rsidRPr="00AC64D4" w:rsidRDefault="00AC64D4" w:rsidP="00AC64D4">
      <w:pPr>
        <w:shd w:val="clear" w:color="auto" w:fill="FFFFFF"/>
        <w:spacing w:after="160"/>
        <w:jc w:val="both"/>
        <w:rPr>
          <w:rFonts w:ascii="Arial" w:eastAsia="Times New Roman" w:hAnsi="Arial" w:cs="Arial"/>
          <w:color w:val="222222"/>
          <w:lang w:eastAsia="fr-FR"/>
        </w:rPr>
      </w:pPr>
      <w:r w:rsidRPr="00AC64D4">
        <w:rPr>
          <w:rFonts w:ascii="Arial" w:eastAsia="Times New Roman" w:hAnsi="Arial" w:cs="Arial"/>
          <w:color w:val="222222"/>
          <w:lang w:eastAsia="fr-FR"/>
        </w:rPr>
        <w:t> </w:t>
      </w:r>
    </w:p>
    <w:p w:rsidR="00AC64D4" w:rsidRPr="00AC64D4" w:rsidRDefault="00AC64D4" w:rsidP="00AC64D4">
      <w:pPr>
        <w:shd w:val="clear" w:color="auto" w:fill="FFFFFF"/>
        <w:spacing w:after="160"/>
        <w:jc w:val="both"/>
        <w:rPr>
          <w:rFonts w:ascii="Arial" w:eastAsia="Times New Roman" w:hAnsi="Arial" w:cs="Arial"/>
          <w:color w:val="222222"/>
          <w:lang w:eastAsia="fr-FR"/>
        </w:rPr>
      </w:pPr>
      <w:r w:rsidRPr="00AC64D4">
        <w:rPr>
          <w:rFonts w:ascii="Calibri" w:eastAsia="Times New Roman" w:hAnsi="Calibri" w:cs="Calibri"/>
          <w:color w:val="000000"/>
          <w:sz w:val="22"/>
          <w:szCs w:val="22"/>
          <w:lang w:eastAsia="fr-FR"/>
        </w:rPr>
        <w:t>PMI travaille actuellement à continuer de développer et à commercialiser une nouvelle catégorie de produits qui, s’ils ne sont pas sans risque, constituent toutefois un meilleur choix que de continuer à fumer. </w:t>
      </w:r>
      <w:r w:rsidRPr="00AC64D4">
        <w:rPr>
          <w:rFonts w:ascii="Calibri" w:eastAsia="Times New Roman" w:hAnsi="Calibri" w:cs="Calibri"/>
          <w:color w:val="222222"/>
          <w:sz w:val="22"/>
          <w:szCs w:val="22"/>
          <w:lang w:eastAsia="fr-FR"/>
        </w:rPr>
        <w:t>Grâce à ses capacités multidisciplinaires en matière de développement de produits, à ses installations de pointe et à la justification scientifique, le PMI vise à garantir que ses produits sans fumée répondent aux préférences des consommateurs adultes et aux exigences réglementaires rigoureuses. Le portefeuille de produits IQOS sans fumée de PMI comprend des produits sans chaleur et sans combustion et des produits à vapeur contenant de la nicotine. Au 30 juin 2020, PMI estime qu'environ 11,2 millions de fumeurs adultes dans le monde ont déjà arrêté de fumer et sont passés au produit "</w:t>
      </w:r>
      <w:proofErr w:type="spellStart"/>
      <w:r w:rsidRPr="00AC64D4">
        <w:rPr>
          <w:rFonts w:ascii="Calibri" w:eastAsia="Times New Roman" w:hAnsi="Calibri" w:cs="Calibri"/>
          <w:color w:val="222222"/>
          <w:sz w:val="22"/>
          <w:szCs w:val="22"/>
          <w:lang w:eastAsia="fr-FR"/>
        </w:rPr>
        <w:t>heat</w:t>
      </w:r>
      <w:proofErr w:type="spellEnd"/>
      <w:r w:rsidRPr="00AC64D4">
        <w:rPr>
          <w:rFonts w:ascii="Calibri" w:eastAsia="Times New Roman" w:hAnsi="Calibri" w:cs="Calibri"/>
          <w:color w:val="222222"/>
          <w:sz w:val="22"/>
          <w:szCs w:val="22"/>
          <w:lang w:eastAsia="fr-FR"/>
        </w:rPr>
        <w:t>-not-</w:t>
      </w:r>
      <w:proofErr w:type="spellStart"/>
      <w:r w:rsidRPr="00AC64D4">
        <w:rPr>
          <w:rFonts w:ascii="Calibri" w:eastAsia="Times New Roman" w:hAnsi="Calibri" w:cs="Calibri"/>
          <w:color w:val="222222"/>
          <w:sz w:val="22"/>
          <w:szCs w:val="22"/>
          <w:lang w:eastAsia="fr-FR"/>
        </w:rPr>
        <w:t>burn</w:t>
      </w:r>
      <w:proofErr w:type="spellEnd"/>
      <w:r w:rsidRPr="00AC64D4">
        <w:rPr>
          <w:rFonts w:ascii="Calibri" w:eastAsia="Times New Roman" w:hAnsi="Calibri" w:cs="Calibri"/>
          <w:color w:val="222222"/>
          <w:sz w:val="22"/>
          <w:szCs w:val="22"/>
          <w:lang w:eastAsia="fr-FR"/>
        </w:rPr>
        <w:t>" de PMI, disponible à la vente sur 57 marchés dans des villes clés ou à l'échelle nationale sous la marque IQOS. Pour plus d'informations, veuillez consulter les sites </w:t>
      </w:r>
      <w:hyperlink r:id="rId8" w:tgtFrame="_blank" w:history="1">
        <w:r w:rsidRPr="00AC64D4">
          <w:rPr>
            <w:rFonts w:ascii="Calibri" w:eastAsia="Times New Roman" w:hAnsi="Calibri" w:cs="Calibri"/>
            <w:color w:val="0563C1"/>
            <w:sz w:val="22"/>
            <w:szCs w:val="22"/>
            <w:u w:val="single"/>
            <w:lang w:eastAsia="fr-FR"/>
          </w:rPr>
          <w:t>www.pmi.com</w:t>
        </w:r>
      </w:hyperlink>
      <w:r w:rsidRPr="00AC64D4">
        <w:rPr>
          <w:rFonts w:ascii="Calibri" w:eastAsia="Times New Roman" w:hAnsi="Calibri" w:cs="Calibri"/>
          <w:color w:val="222222"/>
          <w:sz w:val="22"/>
          <w:szCs w:val="22"/>
          <w:lang w:eastAsia="fr-FR"/>
        </w:rPr>
        <w:t> et </w:t>
      </w:r>
      <w:hyperlink r:id="rId9" w:tgtFrame="_blank" w:history="1">
        <w:r w:rsidRPr="00AC64D4">
          <w:rPr>
            <w:rFonts w:ascii="Calibri" w:eastAsia="Times New Roman" w:hAnsi="Calibri" w:cs="Calibri"/>
            <w:color w:val="0563C1"/>
            <w:sz w:val="22"/>
            <w:szCs w:val="22"/>
            <w:u w:val="single"/>
            <w:lang w:eastAsia="fr-FR"/>
          </w:rPr>
          <w:t>www.pmiscience.com</w:t>
        </w:r>
      </w:hyperlink>
      <w:r w:rsidRPr="00AC64D4">
        <w:rPr>
          <w:rFonts w:ascii="Calibri" w:eastAsia="Times New Roman" w:hAnsi="Calibri" w:cs="Calibri"/>
          <w:color w:val="222222"/>
          <w:sz w:val="22"/>
          <w:szCs w:val="22"/>
          <w:lang w:eastAsia="fr-FR"/>
        </w:rPr>
        <w:t> .</w:t>
      </w:r>
    </w:p>
    <w:p w:rsidR="00AC64D4" w:rsidRDefault="00AC64D4"/>
    <w:sectPr w:rsidR="00AC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81157"/>
    <w:multiLevelType w:val="multilevel"/>
    <w:tmpl w:val="B3D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D4"/>
    <w:rsid w:val="00434C56"/>
    <w:rsid w:val="00692A80"/>
    <w:rsid w:val="00AC6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434C56"/>
    <w:rPr>
      <w:rFonts w:asciiTheme="majorHAnsi" w:hAnsiTheme="majorHAnsi"/>
      <w:sz w:val="28"/>
      <w:szCs w:val="28"/>
    </w:rPr>
  </w:style>
  <w:style w:type="paragraph" w:styleId="NormalWeb">
    <w:name w:val="Normal (Web)"/>
    <w:basedOn w:val="Normal"/>
    <w:uiPriority w:val="99"/>
    <w:semiHidden/>
    <w:unhideWhenUsed/>
    <w:rsid w:val="00AC64D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C64D4"/>
    <w:rPr>
      <w:b/>
      <w:bCs/>
    </w:rPr>
  </w:style>
  <w:style w:type="character" w:styleId="Accentuation">
    <w:name w:val="Emphasis"/>
    <w:basedOn w:val="Policepardfaut"/>
    <w:uiPriority w:val="20"/>
    <w:qFormat/>
    <w:rsid w:val="00AC64D4"/>
    <w:rPr>
      <w:i/>
      <w:iCs/>
    </w:rPr>
  </w:style>
  <w:style w:type="character" w:styleId="Lienhypertexte">
    <w:name w:val="Hyperlink"/>
    <w:basedOn w:val="Policepardfaut"/>
    <w:uiPriority w:val="99"/>
    <w:semiHidden/>
    <w:unhideWhenUsed/>
    <w:rsid w:val="00AC6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434C56"/>
    <w:rPr>
      <w:rFonts w:asciiTheme="majorHAnsi" w:hAnsiTheme="majorHAnsi"/>
      <w:sz w:val="28"/>
      <w:szCs w:val="28"/>
    </w:rPr>
  </w:style>
  <w:style w:type="paragraph" w:styleId="NormalWeb">
    <w:name w:val="Normal (Web)"/>
    <w:basedOn w:val="Normal"/>
    <w:uiPriority w:val="99"/>
    <w:semiHidden/>
    <w:unhideWhenUsed/>
    <w:rsid w:val="00AC64D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C64D4"/>
    <w:rPr>
      <w:b/>
      <w:bCs/>
    </w:rPr>
  </w:style>
  <w:style w:type="character" w:styleId="Accentuation">
    <w:name w:val="Emphasis"/>
    <w:basedOn w:val="Policepardfaut"/>
    <w:uiPriority w:val="20"/>
    <w:qFormat/>
    <w:rsid w:val="00AC64D4"/>
    <w:rPr>
      <w:i/>
      <w:iCs/>
    </w:rPr>
  </w:style>
  <w:style w:type="character" w:styleId="Lienhypertexte">
    <w:name w:val="Hyperlink"/>
    <w:basedOn w:val="Policepardfaut"/>
    <w:uiPriority w:val="99"/>
    <w:semiHidden/>
    <w:unhideWhenUsed/>
    <w:rsid w:val="00AC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TeZUXWpUv-2B6TCY38pVLo9tz2fFgTU5ENR5swrL6Zm6s-3Dweg6_Gy3FU-2B9RKp-2F3vmhcSGNpUMZ0joCtwRxq5BHjI936ZsJ5D1WP39fLb9ldHnk1-2BQAnldLpfVo8X9CNjP1plaK-2BpHeF-2FoDbese0dWX7Ussv6FhLF6p9z58K0oYut9ivmvXR9K2Ez7rVoCRHW7cCGTmDLMr4O95ya6izXYrF2WKN17ipaqGpOyl9i-2Bb3On4GyhVkvgTsortb3Q9Nik04NeQxa7C8JkMA3aOIb9DZimbsXEepCJMEBPe16Y0-2B1pyI-2BANO4Pztboev81w0XdNNRxE9k4xLLeW8Z6lwavK9BzRMB1eICOOO49m-2F3at23ZGUrWVeV4jj055Uqt5ac4wBbPJhOTcVpXV6QklmvQrHT1aQCZg-3D" TargetMode="External"/><Relationship Id="rId3" Type="http://schemas.microsoft.com/office/2007/relationships/stylesWithEffects" Target="stylesWithEffects.xml"/><Relationship Id="rId7" Type="http://schemas.openxmlformats.org/officeDocument/2006/relationships/hyperlink" Target="https://u7061146.ct.sendgrid.net/ls/click?upn=4tNED-2FM8iDZJQyQ53jATUWN0cM-2F8Byz6G7cSVMo-2FOoPZsuGIuDqaPHSX6S4-2F0VYcfA-2FkoW6GoDhtUyauURFxsQ-3D-3DAb7n_Gy3FU-2B9RKp-2F3vmhcSGNpUMZ0joCtwRxq5BHjI936ZsJ5D1WP39fLb9ldHnk1-2BQAnldLpfVo8X9CNjP1plaK-2BpHeF-2FoDbese0dWX7Ussv6FhLF6p9z58K0oYut9ivmvXR9K2Ez7rVoCRHW7cCGTmDLMr4O95ya6izXYrF2WKN17ipaqGpOyl9i-2Bb3On4GyhVkvgTsortb3Q9Nik04NeQxaxtRecvAD0IdZxNUtbebrg1RhMCamieQos3tIGCghi5XogGqcQw84spzTNu3uIwDF6RYvVP9Ydjt08oY6yFo-2B2K8yozxc-2BFdEomCCps-2Bmtq3BgqrUfsQMb48sOLKz-2Fb8RN5Vpon6b6fqx5YsCS1Rdmo-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7061146.ct.sendgrid.net/ls/click?upn=4tNED-2FM8iDZJQyQ53jATUewHdyU-2FlIwcZs33ERLqKX4Nzdl2W2kONDhmYat66D0tqRdxv3V1Dd3NtqIPiMzEvFbhkNcqRQGuJQ8ybeuG2rU-3DBRDv_Gy3FU-2B9RKp-2F3vmhcSGNpUMZ0joCtwRxq5BHjI936ZsJ5D1WP39fLb9ldHnk1-2BQAnldLpfVo8X9CNjP1plaK-2BpHeF-2FoDbese0dWX7Ussv6FhLF6p9z58K0oYut9ivmvXR9K2Ez7rVoCRHW7cCGTmDLMr4O95ya6izXYrF2WKN17ipaqGpOyl9i-2Bb3On4GyhVkvgTsortb3Q9Nik04NeQxa6NrS2W4oqkuI9VAupyUitqKGOTULDI40hTKG7Sgd31C6mXqb5sqQGXlYXNl-2BxzK-2B4JJ7eZXBCPwaGhK0fdn2JCE015dACVijF9g6vcIjJXGmAcJusCTj5i48rrdPdaB92n61pY2WFuC1uZcnBlpoBg-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7061146.ct.sendgrid.net/ls/click?upn=TeZUXWpUv-2B6TCY38pVLo9ng2hI1ynOs1-2BtCuAQvDegmfnvrwWVmuBW70i9zVU2vMG8QJ_Gy3FU-2B9RKp-2F3vmhcSGNpUMZ0joCtwRxq5BHjI936ZsJ5D1WP39fLb9ldHnk1-2BQAnldLpfVo8X9CNjP1plaK-2BpHeF-2FoDbese0dWX7Ussv6FhLF6p9z58K0oYut9ivmvXR9K2Ez7rVoCRHW7cCGTmDLMr4O95ya6izXYrF2WKN17ipaqGpOyl9i-2Bb3On4GyhVkvgTsortb3Q9Nik04NeQxa6oYV6qOWDolnX1MKKrXg7TwSfaCtTXwfvGA30xiWDY9VB81GbxxhM61UVa2mnLN-2Bp0183KcvwQvj9H4RmlF9DfcpWX2hhyldiFA8LWYJ07AdUCiXB4wQU26RLfvYt5TUbA-2BkjsTn1JPY-2FGEdwEQR-2Bo-3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4674</Characters>
  <Application>Microsoft Office Word</Application>
  <DocSecurity>0</DocSecurity>
  <Lines>99</Lines>
  <Paragraphs>28</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2020-10-12T09:57:00Z</dcterms:created>
  <dcterms:modified xsi:type="dcterms:W3CDTF">2020-10-12T09:59:00Z</dcterms:modified>
</cp:coreProperties>
</file>